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highlight w:val="none"/>
          <w:lang w:val="en-US" w:eastAsia="zh-CN"/>
        </w:rPr>
        <w:t>沙地防风固沙林功能提升技术规程</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60</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hint="eastAsia"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w:t>
      </w:r>
      <w:bookmarkStart w:id="0" w:name="_GoBack"/>
      <w:bookmarkEnd w:id="0"/>
      <w:r>
        <w:rPr>
          <w:rFonts w:hint="eastAsia" w:ascii="仿宋_GB2312" w:hAnsi="仿宋_GB2312" w:eastAsia="仿宋_GB2312" w:cs="仿宋_GB2312"/>
          <w:color w:val="000000"/>
          <w:sz w:val="32"/>
          <w:szCs w:val="32"/>
          <w:shd w:val="clear" w:color="auto" w:fill="FFFFFF"/>
        </w:rPr>
        <w:t>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沙地防风固沙林功能提升技术规程</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60</w:t>
      </w:r>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B6C52"/>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93509"/>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3503A"/>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B6554E"/>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9D5997"/>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226A7"/>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26B2B"/>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924FB"/>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67206"/>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C779C6"/>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7F78A2"/>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432</Words>
  <Characters>432</Characters>
  <Lines>3</Lines>
  <Paragraphs>1</Paragraphs>
  <TotalTime>0</TotalTime>
  <ScaleCrop>false</ScaleCrop>
  <LinksUpToDate>false</LinksUpToDate>
  <CharactersWithSpaces>433</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2025-09-05T07:16:02Z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